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BB1" w:rsidRPr="00705D25" w:rsidRDefault="009725AD" w:rsidP="001D0BB1">
      <w:pPr>
        <w:keepNext/>
        <w:keepLines/>
        <w:pBdr>
          <w:bottom w:val="single" w:sz="4" w:space="1" w:color="1F497D" w:themeColor="text2"/>
        </w:pBdr>
        <w:spacing w:before="480" w:after="60"/>
        <w:jc w:val="center"/>
        <w:outlineLvl w:val="0"/>
        <w:rPr>
          <w:rFonts w:asciiTheme="majorHAnsi" w:eastAsiaTheme="majorEastAsia" w:hAnsiTheme="majorHAnsi" w:cstheme="majorBidi"/>
          <w:b/>
          <w:bCs/>
          <w:color w:val="365F91" w:themeColor="accent1" w:themeShade="BF"/>
          <w:sz w:val="32"/>
          <w:szCs w:val="32"/>
        </w:rPr>
      </w:pPr>
      <w:r>
        <w:rPr>
          <w:rFonts w:asciiTheme="majorHAnsi" w:eastAsiaTheme="majorEastAsia" w:hAnsiTheme="majorHAnsi" w:cstheme="majorBidi"/>
          <w:b/>
          <w:bCs/>
          <w:color w:val="365F91" w:themeColor="accent1" w:themeShade="BF"/>
          <w:sz w:val="32"/>
          <w:szCs w:val="32"/>
        </w:rPr>
        <w:t xml:space="preserve"> </w:t>
      </w:r>
      <w:bookmarkStart w:id="0" w:name="_GoBack"/>
      <w:bookmarkEnd w:id="0"/>
      <w:r w:rsidR="001D0BB1">
        <w:rPr>
          <w:rFonts w:asciiTheme="majorHAnsi" w:eastAsiaTheme="majorEastAsia" w:hAnsiTheme="majorHAnsi" w:cstheme="majorBidi"/>
          <w:b/>
          <w:bCs/>
          <w:color w:val="365F91" w:themeColor="accent1" w:themeShade="BF"/>
          <w:sz w:val="32"/>
          <w:szCs w:val="32"/>
        </w:rPr>
        <w:t>Aboriginal staff in WA custodial corrections</w:t>
      </w:r>
    </w:p>
    <w:p w:rsidR="001D0BB1" w:rsidRPr="00705D25" w:rsidRDefault="001D0BB1" w:rsidP="001D0BB1">
      <w:pPr>
        <w:keepNext/>
        <w:keepLines/>
        <w:pBdr>
          <w:bottom w:val="single" w:sz="4" w:space="1" w:color="1F497D" w:themeColor="text2"/>
        </w:pBdr>
        <w:spacing w:before="480" w:after="60"/>
        <w:ind w:left="709" w:hanging="709"/>
        <w:outlineLvl w:val="0"/>
        <w:rPr>
          <w:rFonts w:asciiTheme="majorHAnsi" w:eastAsiaTheme="majorEastAsia" w:hAnsiTheme="majorHAnsi" w:cstheme="majorBidi"/>
          <w:b/>
          <w:bCs/>
          <w:color w:val="365F91" w:themeColor="accent1" w:themeShade="BF"/>
          <w:sz w:val="28"/>
          <w:szCs w:val="28"/>
        </w:rPr>
      </w:pPr>
      <w:r w:rsidRPr="00705D25">
        <w:rPr>
          <w:rFonts w:asciiTheme="majorHAnsi" w:eastAsiaTheme="majorEastAsia" w:hAnsiTheme="majorHAnsi" w:cstheme="majorBidi"/>
          <w:b/>
          <w:bCs/>
          <w:color w:val="365F91" w:themeColor="accent1" w:themeShade="BF"/>
          <w:sz w:val="28"/>
          <w:szCs w:val="28"/>
        </w:rPr>
        <w:t>Background</w:t>
      </w:r>
    </w:p>
    <w:p w:rsidR="00960E2C" w:rsidRDefault="0038571F" w:rsidP="00A4135E">
      <w:pPr>
        <w:spacing w:before="240"/>
        <w:rPr>
          <w:rFonts w:asciiTheme="majorHAnsi" w:hAnsiTheme="majorHAnsi"/>
        </w:rPr>
      </w:pPr>
      <w:r>
        <w:rPr>
          <w:rFonts w:asciiTheme="majorHAnsi" w:hAnsiTheme="majorHAnsi"/>
        </w:rPr>
        <w:t>Within the custodial environment in Western Australia</w:t>
      </w:r>
      <w:r w:rsidR="00F75827">
        <w:rPr>
          <w:rFonts w:asciiTheme="majorHAnsi" w:hAnsiTheme="majorHAnsi"/>
        </w:rPr>
        <w:t>, Aboriginal and Torres Strait Islander people c</w:t>
      </w:r>
      <w:r w:rsidR="006C781F">
        <w:rPr>
          <w:rFonts w:asciiTheme="majorHAnsi" w:hAnsiTheme="majorHAnsi"/>
        </w:rPr>
        <w:t>onstitute approximately 39</w:t>
      </w:r>
      <w:r w:rsidR="00F75827">
        <w:rPr>
          <w:rFonts w:asciiTheme="majorHAnsi" w:hAnsiTheme="majorHAnsi"/>
        </w:rPr>
        <w:t xml:space="preserve"> per cent of the</w:t>
      </w:r>
      <w:r w:rsidR="00FD60D7">
        <w:rPr>
          <w:rFonts w:asciiTheme="majorHAnsi" w:hAnsiTheme="majorHAnsi"/>
        </w:rPr>
        <w:t xml:space="preserve"> adult custodial</w:t>
      </w:r>
      <w:r w:rsidR="00F75827">
        <w:rPr>
          <w:rFonts w:asciiTheme="majorHAnsi" w:hAnsiTheme="majorHAnsi"/>
        </w:rPr>
        <w:t xml:space="preserve"> population.</w:t>
      </w:r>
      <w:r w:rsidR="006C781F">
        <w:rPr>
          <w:rStyle w:val="FootnoteReference"/>
          <w:rFonts w:asciiTheme="majorHAnsi" w:hAnsiTheme="majorHAnsi"/>
        </w:rPr>
        <w:footnoteReference w:id="1"/>
      </w:r>
      <w:r w:rsidR="00093179">
        <w:rPr>
          <w:rFonts w:asciiTheme="majorHAnsi" w:hAnsiTheme="majorHAnsi"/>
        </w:rPr>
        <w:t xml:space="preserve"> This is a</w:t>
      </w:r>
      <w:r w:rsidR="00960E2C">
        <w:rPr>
          <w:rFonts w:asciiTheme="majorHAnsi" w:hAnsiTheme="majorHAnsi"/>
        </w:rPr>
        <w:t>n</w:t>
      </w:r>
      <w:r w:rsidR="00093179">
        <w:rPr>
          <w:rFonts w:asciiTheme="majorHAnsi" w:hAnsiTheme="majorHAnsi"/>
        </w:rPr>
        <w:t xml:space="preserve"> </w:t>
      </w:r>
      <w:r w:rsidR="00960E2C">
        <w:rPr>
          <w:rFonts w:asciiTheme="majorHAnsi" w:hAnsiTheme="majorHAnsi"/>
        </w:rPr>
        <w:t>extreme</w:t>
      </w:r>
      <w:r w:rsidR="00093179">
        <w:rPr>
          <w:rFonts w:asciiTheme="majorHAnsi" w:hAnsiTheme="majorHAnsi"/>
        </w:rPr>
        <w:t xml:space="preserve"> overrepresentation given Aboriginal and Torres Strait Islander people make up approximately 3</w:t>
      </w:r>
      <w:r w:rsidR="00D947D9">
        <w:rPr>
          <w:rFonts w:asciiTheme="majorHAnsi" w:hAnsiTheme="majorHAnsi"/>
        </w:rPr>
        <w:t>.</w:t>
      </w:r>
      <w:r w:rsidR="006C781F">
        <w:rPr>
          <w:rFonts w:asciiTheme="majorHAnsi" w:hAnsiTheme="majorHAnsi"/>
        </w:rPr>
        <w:t>1</w:t>
      </w:r>
      <w:r w:rsidR="00093179">
        <w:rPr>
          <w:rFonts w:asciiTheme="majorHAnsi" w:hAnsiTheme="majorHAnsi"/>
        </w:rPr>
        <w:t xml:space="preserve"> per cent of the total WA population.</w:t>
      </w:r>
      <w:r w:rsidR="006C781F">
        <w:rPr>
          <w:rStyle w:val="FootnoteReference"/>
          <w:rFonts w:asciiTheme="majorHAnsi" w:hAnsiTheme="majorHAnsi"/>
        </w:rPr>
        <w:footnoteReference w:id="2"/>
      </w:r>
      <w:r w:rsidR="00C6691D">
        <w:rPr>
          <w:rFonts w:asciiTheme="majorHAnsi" w:hAnsiTheme="majorHAnsi"/>
        </w:rPr>
        <w:t xml:space="preserve"> </w:t>
      </w:r>
    </w:p>
    <w:p w:rsidR="00203D04" w:rsidRDefault="00FD60D7" w:rsidP="00A4135E">
      <w:pPr>
        <w:spacing w:before="240"/>
        <w:rPr>
          <w:rFonts w:asciiTheme="majorHAnsi" w:hAnsiTheme="majorHAnsi"/>
        </w:rPr>
      </w:pPr>
      <w:r>
        <w:rPr>
          <w:rFonts w:asciiTheme="majorHAnsi" w:hAnsiTheme="majorHAnsi"/>
        </w:rPr>
        <w:t xml:space="preserve">The Department of Corrective Services </w:t>
      </w:r>
      <w:r w:rsidR="0058163B">
        <w:rPr>
          <w:rFonts w:asciiTheme="majorHAnsi" w:hAnsiTheme="majorHAnsi"/>
        </w:rPr>
        <w:t xml:space="preserve">(‘the Department’) </w:t>
      </w:r>
      <w:r w:rsidR="00203D04">
        <w:rPr>
          <w:rFonts w:asciiTheme="majorHAnsi" w:hAnsiTheme="majorHAnsi"/>
        </w:rPr>
        <w:t xml:space="preserve">recognises the significant over-representation of Aboriginal people in the justice system and accepts that Aboriginal issues are a core component of its business. </w:t>
      </w:r>
      <w:r w:rsidR="00AA406E">
        <w:rPr>
          <w:rFonts w:asciiTheme="majorHAnsi" w:hAnsiTheme="majorHAnsi"/>
        </w:rPr>
        <w:t xml:space="preserve"> It has documented its commitment</w:t>
      </w:r>
      <w:r w:rsidR="00203D04">
        <w:rPr>
          <w:rFonts w:asciiTheme="majorHAnsi" w:hAnsiTheme="majorHAnsi"/>
        </w:rPr>
        <w:t xml:space="preserve"> to implementing innovative </w:t>
      </w:r>
      <w:r w:rsidR="00AA406E">
        <w:rPr>
          <w:rFonts w:asciiTheme="majorHAnsi" w:hAnsiTheme="majorHAnsi"/>
        </w:rPr>
        <w:t xml:space="preserve">strategies to increase Aboriginal representation within its workforce as a means of improving Aboriginal offender management and rehabilitation services.  </w:t>
      </w:r>
      <w:r w:rsidR="00A61DC6">
        <w:rPr>
          <w:rFonts w:asciiTheme="majorHAnsi" w:hAnsiTheme="majorHAnsi"/>
        </w:rPr>
        <w:t>It recognises the importance of successfully implementing employment policies and practice which can contribute to improving outcomes for Aboriginal people through long term, sustainable employment opportunities and career pathways.</w:t>
      </w:r>
      <w:r w:rsidR="00F86BEC" w:rsidRPr="00F86BEC">
        <w:rPr>
          <w:rStyle w:val="FootnoteReference"/>
          <w:rFonts w:asciiTheme="majorHAnsi" w:hAnsiTheme="majorHAnsi"/>
        </w:rPr>
        <w:t xml:space="preserve"> </w:t>
      </w:r>
      <w:r w:rsidR="00F86BEC">
        <w:rPr>
          <w:rStyle w:val="FootnoteReference"/>
          <w:rFonts w:asciiTheme="majorHAnsi" w:hAnsiTheme="majorHAnsi"/>
        </w:rPr>
        <w:footnoteReference w:id="3"/>
      </w:r>
      <w:r w:rsidR="00A61DC6">
        <w:rPr>
          <w:rFonts w:asciiTheme="majorHAnsi" w:hAnsiTheme="majorHAnsi"/>
        </w:rPr>
        <w:t xml:space="preserve">  </w:t>
      </w:r>
    </w:p>
    <w:p w:rsidR="00E53363" w:rsidRDefault="001F4309" w:rsidP="001F4309">
      <w:pPr>
        <w:rPr>
          <w:rFonts w:asciiTheme="majorHAnsi" w:hAnsiTheme="majorHAnsi"/>
        </w:rPr>
      </w:pPr>
      <w:r>
        <w:rPr>
          <w:rFonts w:asciiTheme="majorHAnsi" w:hAnsiTheme="majorHAnsi"/>
        </w:rPr>
        <w:t>The Department has an Aboriginal Workforce Development Unit (within Workforce Planning and Strategy) which is dedicated to the attraction, employment and retention of Aboriginal people.  As such t</w:t>
      </w:r>
      <w:r w:rsidR="009F6486">
        <w:rPr>
          <w:rFonts w:asciiTheme="majorHAnsi" w:hAnsiTheme="majorHAnsi"/>
        </w:rPr>
        <w:t xml:space="preserve">he Department set a 7.25 per cent Aboriginal employee target which equates to approximately 330-340 staff across the state. </w:t>
      </w:r>
    </w:p>
    <w:p w:rsidR="00A01365" w:rsidRDefault="009F6486" w:rsidP="001F4309">
      <w:pPr>
        <w:rPr>
          <w:rFonts w:asciiTheme="majorHAnsi" w:hAnsiTheme="majorHAnsi"/>
        </w:rPr>
      </w:pPr>
      <w:r>
        <w:rPr>
          <w:rFonts w:asciiTheme="majorHAnsi" w:hAnsiTheme="majorHAnsi"/>
        </w:rPr>
        <w:t>As at 1 July 2013, 4.8 per cent of departmental staff were Aboriginal</w:t>
      </w:r>
      <w:r w:rsidR="00FA5E2C">
        <w:rPr>
          <w:rFonts w:asciiTheme="majorHAnsi" w:hAnsiTheme="majorHAnsi"/>
        </w:rPr>
        <w:t>,</w:t>
      </w:r>
      <w:r>
        <w:rPr>
          <w:rFonts w:asciiTheme="majorHAnsi" w:hAnsiTheme="majorHAnsi"/>
        </w:rPr>
        <w:t xml:space="preserve"> up from 4.4 per cent in 1 April.</w:t>
      </w:r>
      <w:r>
        <w:rPr>
          <w:rStyle w:val="FootnoteReference"/>
          <w:rFonts w:asciiTheme="majorHAnsi" w:hAnsiTheme="majorHAnsi"/>
        </w:rPr>
        <w:footnoteReference w:id="4"/>
      </w:r>
      <w:r w:rsidR="00845898">
        <w:rPr>
          <w:rFonts w:asciiTheme="majorHAnsi" w:hAnsiTheme="majorHAnsi"/>
        </w:rPr>
        <w:t xml:space="preserve"> There are 120 </w:t>
      </w:r>
      <w:r>
        <w:rPr>
          <w:rFonts w:asciiTheme="majorHAnsi" w:hAnsiTheme="majorHAnsi"/>
        </w:rPr>
        <w:t xml:space="preserve">positions </w:t>
      </w:r>
      <w:r w:rsidR="00FA5E2C">
        <w:rPr>
          <w:rFonts w:asciiTheme="majorHAnsi" w:hAnsiTheme="majorHAnsi"/>
        </w:rPr>
        <w:t xml:space="preserve">reserved specifically for </w:t>
      </w:r>
      <w:r w:rsidR="00845898">
        <w:rPr>
          <w:rFonts w:asciiTheme="majorHAnsi" w:hAnsiTheme="majorHAnsi"/>
        </w:rPr>
        <w:t>people of Aboriginal descent</w:t>
      </w:r>
      <w:r w:rsidR="00311E47">
        <w:rPr>
          <w:rFonts w:asciiTheme="majorHAnsi" w:hAnsiTheme="majorHAnsi"/>
        </w:rPr>
        <w:t xml:space="preserve"> (50d positions)</w:t>
      </w:r>
      <w:r w:rsidR="004C4E8C">
        <w:rPr>
          <w:rFonts w:asciiTheme="majorHAnsi" w:hAnsiTheme="majorHAnsi"/>
        </w:rPr>
        <w:t>,</w:t>
      </w:r>
      <w:r w:rsidR="00845898">
        <w:rPr>
          <w:rFonts w:asciiTheme="majorHAnsi" w:hAnsiTheme="majorHAnsi"/>
        </w:rPr>
        <w:t xml:space="preserve"> </w:t>
      </w:r>
      <w:r>
        <w:rPr>
          <w:rFonts w:asciiTheme="majorHAnsi" w:hAnsiTheme="majorHAnsi"/>
        </w:rPr>
        <w:t xml:space="preserve">81 of </w:t>
      </w:r>
      <w:r w:rsidR="004C4E8C">
        <w:rPr>
          <w:rFonts w:asciiTheme="majorHAnsi" w:hAnsiTheme="majorHAnsi"/>
        </w:rPr>
        <w:t xml:space="preserve">which </w:t>
      </w:r>
      <w:r w:rsidR="00845898">
        <w:rPr>
          <w:rFonts w:asciiTheme="majorHAnsi" w:hAnsiTheme="majorHAnsi"/>
        </w:rPr>
        <w:t xml:space="preserve">are </w:t>
      </w:r>
      <w:r>
        <w:rPr>
          <w:rFonts w:asciiTheme="majorHAnsi" w:hAnsiTheme="majorHAnsi"/>
        </w:rPr>
        <w:t>either pe</w:t>
      </w:r>
      <w:r w:rsidR="00845898">
        <w:rPr>
          <w:rFonts w:asciiTheme="majorHAnsi" w:hAnsiTheme="majorHAnsi"/>
        </w:rPr>
        <w:t>rmanently or temporarily filled while</w:t>
      </w:r>
      <w:r>
        <w:rPr>
          <w:rFonts w:asciiTheme="majorHAnsi" w:hAnsiTheme="majorHAnsi"/>
        </w:rPr>
        <w:t xml:space="preserve"> </w:t>
      </w:r>
      <w:r w:rsidR="00845898">
        <w:rPr>
          <w:rFonts w:asciiTheme="majorHAnsi" w:hAnsiTheme="majorHAnsi"/>
        </w:rPr>
        <w:t>the others</w:t>
      </w:r>
      <w:r>
        <w:rPr>
          <w:rFonts w:asciiTheme="majorHAnsi" w:hAnsiTheme="majorHAnsi"/>
        </w:rPr>
        <w:t xml:space="preserve"> positions remain vacant.</w:t>
      </w:r>
      <w:r>
        <w:rPr>
          <w:rStyle w:val="FootnoteReference"/>
          <w:rFonts w:asciiTheme="majorHAnsi" w:hAnsiTheme="majorHAnsi"/>
        </w:rPr>
        <w:footnoteReference w:id="5"/>
      </w:r>
      <w:r>
        <w:rPr>
          <w:rFonts w:asciiTheme="majorHAnsi" w:hAnsiTheme="majorHAnsi"/>
        </w:rPr>
        <w:t xml:space="preserve"> </w:t>
      </w:r>
      <w:r w:rsidR="00DA4ECC">
        <w:rPr>
          <w:rFonts w:asciiTheme="majorHAnsi" w:hAnsiTheme="majorHAnsi"/>
        </w:rPr>
        <w:t>The Department previously had</w:t>
      </w:r>
      <w:r w:rsidR="00CE78A2">
        <w:rPr>
          <w:rFonts w:asciiTheme="majorHAnsi" w:hAnsiTheme="majorHAnsi"/>
        </w:rPr>
        <w:t xml:space="preserve"> </w:t>
      </w:r>
      <w:r w:rsidR="00A01365">
        <w:rPr>
          <w:rFonts w:asciiTheme="majorHAnsi" w:hAnsiTheme="majorHAnsi"/>
        </w:rPr>
        <w:t xml:space="preserve">an Aboriginal Justice Directorate, headed by an Assistant Commissioner Aboriginal Justice.  This position was abolished </w:t>
      </w:r>
      <w:r w:rsidR="00CE78A2">
        <w:rPr>
          <w:rFonts w:asciiTheme="majorHAnsi" w:hAnsiTheme="majorHAnsi"/>
        </w:rPr>
        <w:t>in the 2009/2010</w:t>
      </w:r>
      <w:r w:rsidR="00A01365">
        <w:rPr>
          <w:rFonts w:asciiTheme="majorHAnsi" w:hAnsiTheme="majorHAnsi"/>
        </w:rPr>
        <w:t xml:space="preserve"> </w:t>
      </w:r>
      <w:r w:rsidR="00CE78A2">
        <w:rPr>
          <w:rFonts w:asciiTheme="majorHAnsi" w:hAnsiTheme="majorHAnsi"/>
        </w:rPr>
        <w:t>financial year</w:t>
      </w:r>
      <w:r w:rsidR="00A01365">
        <w:rPr>
          <w:rFonts w:asciiTheme="majorHAnsi" w:hAnsiTheme="majorHAnsi"/>
        </w:rPr>
        <w:t xml:space="preserve">.   </w:t>
      </w:r>
    </w:p>
    <w:p w:rsidR="00E53363" w:rsidRDefault="00E53363" w:rsidP="001F4309">
      <w:pPr>
        <w:rPr>
          <w:rFonts w:asciiTheme="majorHAnsi" w:hAnsiTheme="majorHAnsi"/>
        </w:rPr>
      </w:pPr>
    </w:p>
    <w:p w:rsidR="00E53363" w:rsidRDefault="00E53363" w:rsidP="001F4309">
      <w:pPr>
        <w:rPr>
          <w:rFonts w:asciiTheme="majorHAnsi" w:hAnsiTheme="majorHAnsi"/>
        </w:rPr>
      </w:pPr>
    </w:p>
    <w:p w:rsidR="00E53363" w:rsidRDefault="00E53363" w:rsidP="001F4309">
      <w:pPr>
        <w:rPr>
          <w:rFonts w:asciiTheme="majorHAnsi" w:hAnsiTheme="majorHAnsi"/>
        </w:rPr>
      </w:pPr>
    </w:p>
    <w:p w:rsidR="001D0BB1" w:rsidRPr="00705D25" w:rsidRDefault="001D0BB1" w:rsidP="001D0BB1">
      <w:pPr>
        <w:keepNext/>
        <w:keepLines/>
        <w:pBdr>
          <w:bottom w:val="single" w:sz="4" w:space="1" w:color="1F497D" w:themeColor="text2"/>
        </w:pBdr>
        <w:spacing w:before="480" w:after="60"/>
        <w:ind w:left="360" w:hanging="360"/>
        <w:outlineLvl w:val="0"/>
        <w:rPr>
          <w:rFonts w:asciiTheme="majorHAnsi" w:eastAsiaTheme="majorEastAsia" w:hAnsiTheme="majorHAnsi" w:cstheme="majorBidi"/>
          <w:b/>
          <w:bCs/>
          <w:color w:val="365F91" w:themeColor="accent1" w:themeShade="BF"/>
          <w:sz w:val="28"/>
          <w:szCs w:val="28"/>
        </w:rPr>
      </w:pPr>
      <w:r w:rsidRPr="00705D25">
        <w:rPr>
          <w:rFonts w:asciiTheme="majorHAnsi" w:eastAsiaTheme="majorEastAsia" w:hAnsiTheme="majorHAnsi" w:cstheme="majorBidi"/>
          <w:b/>
          <w:bCs/>
          <w:color w:val="365F91" w:themeColor="accent1" w:themeShade="BF"/>
          <w:sz w:val="28"/>
          <w:szCs w:val="28"/>
        </w:rPr>
        <w:lastRenderedPageBreak/>
        <w:t>Purpose of the review</w:t>
      </w:r>
    </w:p>
    <w:p w:rsidR="001D0BB1" w:rsidRPr="00705D25" w:rsidRDefault="001610DA" w:rsidP="001D0BB1">
      <w:pPr>
        <w:rPr>
          <w:rFonts w:asciiTheme="majorHAnsi" w:hAnsiTheme="majorHAnsi"/>
        </w:rPr>
      </w:pPr>
      <w:r>
        <w:rPr>
          <w:rFonts w:asciiTheme="majorHAnsi" w:hAnsiTheme="majorHAnsi"/>
        </w:rPr>
        <w:t xml:space="preserve">This review </w:t>
      </w:r>
      <w:r w:rsidR="00696AF0">
        <w:rPr>
          <w:rFonts w:asciiTheme="majorHAnsi" w:hAnsiTheme="majorHAnsi"/>
        </w:rPr>
        <w:t xml:space="preserve">will </w:t>
      </w:r>
      <w:r w:rsidR="00941A7B">
        <w:rPr>
          <w:rFonts w:asciiTheme="majorHAnsi" w:hAnsiTheme="majorHAnsi"/>
        </w:rPr>
        <w:t xml:space="preserve">seek to determine </w:t>
      </w:r>
      <w:r w:rsidR="00AE7F80">
        <w:rPr>
          <w:rFonts w:asciiTheme="majorHAnsi" w:hAnsiTheme="majorHAnsi"/>
        </w:rPr>
        <w:t>whether</w:t>
      </w:r>
      <w:r w:rsidR="00441EC0">
        <w:rPr>
          <w:rFonts w:asciiTheme="majorHAnsi" w:hAnsiTheme="majorHAnsi"/>
        </w:rPr>
        <w:t xml:space="preserve"> the Department is</w:t>
      </w:r>
      <w:r w:rsidR="00AE7F80">
        <w:rPr>
          <w:rFonts w:asciiTheme="majorHAnsi" w:hAnsiTheme="majorHAnsi"/>
        </w:rPr>
        <w:t xml:space="preserve"> </w:t>
      </w:r>
      <w:r w:rsidR="00696AF0">
        <w:rPr>
          <w:rFonts w:asciiTheme="majorHAnsi" w:hAnsiTheme="majorHAnsi"/>
        </w:rPr>
        <w:t xml:space="preserve">meeting </w:t>
      </w:r>
      <w:r w:rsidR="00F71871">
        <w:rPr>
          <w:rFonts w:asciiTheme="majorHAnsi" w:hAnsiTheme="majorHAnsi"/>
        </w:rPr>
        <w:t xml:space="preserve">its commitment to increase </w:t>
      </w:r>
      <w:r w:rsidR="00696AF0">
        <w:rPr>
          <w:rFonts w:asciiTheme="majorHAnsi" w:hAnsiTheme="majorHAnsi"/>
        </w:rPr>
        <w:t>Aboriginal employment.</w:t>
      </w:r>
      <w:r w:rsidR="001D0BB1">
        <w:rPr>
          <w:rFonts w:asciiTheme="majorHAnsi" w:hAnsiTheme="majorHAnsi"/>
        </w:rPr>
        <w:t xml:space="preserve"> </w:t>
      </w:r>
      <w:r w:rsidR="00ED57F7">
        <w:rPr>
          <w:rFonts w:asciiTheme="majorHAnsi" w:hAnsiTheme="majorHAnsi"/>
        </w:rPr>
        <w:t xml:space="preserve">It will also review </w:t>
      </w:r>
      <w:r w:rsidR="00F71871">
        <w:rPr>
          <w:rFonts w:asciiTheme="majorHAnsi" w:hAnsiTheme="majorHAnsi"/>
        </w:rPr>
        <w:t xml:space="preserve">the effectiveness of its strategies in attracting, employing </w:t>
      </w:r>
      <w:r w:rsidR="00A83DA3">
        <w:rPr>
          <w:rFonts w:asciiTheme="majorHAnsi" w:hAnsiTheme="majorHAnsi"/>
        </w:rPr>
        <w:t>and retain</w:t>
      </w:r>
      <w:r w:rsidR="00F71871">
        <w:rPr>
          <w:rFonts w:asciiTheme="majorHAnsi" w:hAnsiTheme="majorHAnsi"/>
        </w:rPr>
        <w:t>ing Aboriginal people.</w:t>
      </w:r>
    </w:p>
    <w:p w:rsidR="001D0BB1" w:rsidRPr="00705D25" w:rsidRDefault="001D0BB1" w:rsidP="001D0BB1">
      <w:pPr>
        <w:keepNext/>
        <w:keepLines/>
        <w:pBdr>
          <w:bottom w:val="single" w:sz="4" w:space="1" w:color="1F497D" w:themeColor="text2"/>
        </w:pBdr>
        <w:spacing w:before="480" w:after="60"/>
        <w:ind w:left="360" w:hanging="360"/>
        <w:outlineLvl w:val="0"/>
        <w:rPr>
          <w:rFonts w:asciiTheme="majorHAnsi" w:eastAsiaTheme="majorEastAsia" w:hAnsiTheme="majorHAnsi" w:cstheme="majorBidi"/>
          <w:b/>
          <w:bCs/>
          <w:color w:val="365F91" w:themeColor="accent1" w:themeShade="BF"/>
          <w:sz w:val="28"/>
          <w:szCs w:val="28"/>
        </w:rPr>
      </w:pPr>
      <w:r w:rsidRPr="00705D25">
        <w:rPr>
          <w:rFonts w:asciiTheme="majorHAnsi" w:eastAsiaTheme="majorEastAsia" w:hAnsiTheme="majorHAnsi" w:cstheme="majorBidi"/>
          <w:b/>
          <w:bCs/>
          <w:color w:val="365F91" w:themeColor="accent1" w:themeShade="BF"/>
          <w:sz w:val="28"/>
          <w:szCs w:val="28"/>
        </w:rPr>
        <w:t>Terms of Reference</w:t>
      </w:r>
    </w:p>
    <w:p w:rsidR="006856A9" w:rsidRPr="006856A9" w:rsidRDefault="006856A9" w:rsidP="00E57B1D">
      <w:pPr>
        <w:pStyle w:val="ListParagraph"/>
        <w:numPr>
          <w:ilvl w:val="0"/>
          <w:numId w:val="1"/>
        </w:numPr>
        <w:spacing w:before="240" w:after="200" w:line="276" w:lineRule="auto"/>
        <w:contextualSpacing/>
        <w:rPr>
          <w:rFonts w:asciiTheme="majorHAnsi" w:hAnsiTheme="majorHAnsi"/>
        </w:rPr>
      </w:pPr>
      <w:r w:rsidRPr="006856A9">
        <w:rPr>
          <w:rFonts w:asciiTheme="majorHAnsi" w:hAnsiTheme="majorHAnsi"/>
        </w:rPr>
        <w:t xml:space="preserve">Has the Department maintained an appropriate level of Aboriginal employment in the </w:t>
      </w:r>
      <w:r w:rsidR="00C971F0">
        <w:rPr>
          <w:rFonts w:asciiTheme="majorHAnsi" w:hAnsiTheme="majorHAnsi"/>
        </w:rPr>
        <w:t xml:space="preserve">custodial area in the </w:t>
      </w:r>
      <w:r w:rsidRPr="006856A9">
        <w:rPr>
          <w:rFonts w:asciiTheme="majorHAnsi" w:hAnsiTheme="majorHAnsi"/>
        </w:rPr>
        <w:t>past five years?</w:t>
      </w:r>
    </w:p>
    <w:p w:rsidR="006856A9" w:rsidRPr="006856A9" w:rsidRDefault="006856A9" w:rsidP="00E57B1D">
      <w:pPr>
        <w:pStyle w:val="ListParagraph"/>
        <w:numPr>
          <w:ilvl w:val="0"/>
          <w:numId w:val="1"/>
        </w:numPr>
        <w:spacing w:before="240" w:after="200" w:line="276" w:lineRule="auto"/>
        <w:contextualSpacing/>
        <w:rPr>
          <w:rFonts w:asciiTheme="majorHAnsi" w:hAnsiTheme="majorHAnsi"/>
        </w:rPr>
      </w:pPr>
      <w:r w:rsidRPr="006856A9">
        <w:rPr>
          <w:rFonts w:asciiTheme="majorHAnsi" w:hAnsiTheme="majorHAnsi"/>
        </w:rPr>
        <w:t>Has the Department adequately addressed barriers to attracting, recruiting, retaining and promoting Aboriginal employment over the past five years?</w:t>
      </w:r>
    </w:p>
    <w:p w:rsidR="006856A9" w:rsidRPr="006856A9" w:rsidRDefault="006856A9" w:rsidP="00E57B1D">
      <w:pPr>
        <w:pStyle w:val="ListParagraph"/>
        <w:numPr>
          <w:ilvl w:val="0"/>
          <w:numId w:val="1"/>
        </w:numPr>
        <w:spacing w:before="240" w:after="200" w:line="276" w:lineRule="auto"/>
        <w:contextualSpacing/>
        <w:rPr>
          <w:rFonts w:asciiTheme="majorHAnsi" w:hAnsiTheme="majorHAnsi"/>
        </w:rPr>
      </w:pPr>
      <w:r w:rsidRPr="006856A9">
        <w:rPr>
          <w:rFonts w:asciiTheme="majorHAnsi" w:hAnsiTheme="majorHAnsi"/>
        </w:rPr>
        <w:t>Is the vacancy rate of 50d positions comparable to other vacancy rates in the Department, and vacancy rates of 50d positions in other state departments?</w:t>
      </w:r>
    </w:p>
    <w:p w:rsidR="0075385E" w:rsidRDefault="001D0BB1" w:rsidP="004D2ADB">
      <w:pPr>
        <w:keepNext/>
        <w:keepLines/>
        <w:pBdr>
          <w:bottom w:val="single" w:sz="4" w:space="1" w:color="1F497D" w:themeColor="text2"/>
        </w:pBdr>
        <w:tabs>
          <w:tab w:val="center" w:pos="4513"/>
        </w:tabs>
        <w:spacing w:before="480" w:after="60"/>
        <w:ind w:left="360" w:hanging="360"/>
        <w:outlineLvl w:val="0"/>
        <w:rPr>
          <w:rFonts w:asciiTheme="majorHAnsi" w:hAnsiTheme="majorHAnsi"/>
        </w:rPr>
      </w:pPr>
      <w:r w:rsidRPr="00705D25">
        <w:rPr>
          <w:rFonts w:asciiTheme="majorHAnsi" w:eastAsiaTheme="majorEastAsia" w:hAnsiTheme="majorHAnsi" w:cstheme="majorBidi"/>
          <w:b/>
          <w:bCs/>
          <w:color w:val="365F91" w:themeColor="accent1" w:themeShade="BF"/>
          <w:sz w:val="28"/>
          <w:szCs w:val="28"/>
        </w:rPr>
        <w:t>Methodology</w:t>
      </w:r>
      <w:r w:rsidRPr="00705D25">
        <w:rPr>
          <w:rFonts w:asciiTheme="majorHAnsi" w:eastAsiaTheme="majorEastAsia" w:hAnsiTheme="majorHAnsi" w:cstheme="majorBidi"/>
          <w:b/>
          <w:bCs/>
          <w:color w:val="365F91" w:themeColor="accent1" w:themeShade="BF"/>
          <w:sz w:val="28"/>
          <w:szCs w:val="28"/>
        </w:rPr>
        <w:tab/>
      </w:r>
    </w:p>
    <w:p w:rsidR="00835079" w:rsidRDefault="00835079" w:rsidP="001D0BB1">
      <w:pPr>
        <w:pStyle w:val="ListParagraph"/>
        <w:numPr>
          <w:ilvl w:val="0"/>
          <w:numId w:val="4"/>
        </w:numPr>
        <w:spacing w:line="276" w:lineRule="auto"/>
        <w:contextualSpacing/>
        <w:rPr>
          <w:rFonts w:asciiTheme="majorHAnsi" w:hAnsiTheme="majorHAnsi"/>
        </w:rPr>
      </w:pPr>
      <w:r>
        <w:rPr>
          <w:rFonts w:asciiTheme="majorHAnsi" w:hAnsiTheme="majorHAnsi"/>
        </w:rPr>
        <w:t>Review staff diversity patterns from 2009-2013</w:t>
      </w:r>
    </w:p>
    <w:p w:rsidR="001D0BB1" w:rsidRDefault="003916D3" w:rsidP="001D0BB1">
      <w:pPr>
        <w:pStyle w:val="ListParagraph"/>
        <w:numPr>
          <w:ilvl w:val="0"/>
          <w:numId w:val="4"/>
        </w:numPr>
        <w:spacing w:line="276" w:lineRule="auto"/>
        <w:contextualSpacing/>
        <w:rPr>
          <w:rFonts w:asciiTheme="majorHAnsi" w:hAnsiTheme="majorHAnsi"/>
        </w:rPr>
      </w:pPr>
      <w:r>
        <w:rPr>
          <w:rFonts w:asciiTheme="majorHAnsi" w:hAnsiTheme="majorHAnsi"/>
        </w:rPr>
        <w:t>R</w:t>
      </w:r>
      <w:r w:rsidR="001D0BB1">
        <w:rPr>
          <w:rFonts w:asciiTheme="majorHAnsi" w:hAnsiTheme="majorHAnsi"/>
        </w:rPr>
        <w:t xml:space="preserve">eview of </w:t>
      </w:r>
      <w:r>
        <w:rPr>
          <w:rFonts w:asciiTheme="majorHAnsi" w:hAnsiTheme="majorHAnsi"/>
        </w:rPr>
        <w:t xml:space="preserve">policy </w:t>
      </w:r>
      <w:r w:rsidR="001D0BB1">
        <w:rPr>
          <w:rFonts w:asciiTheme="majorHAnsi" w:hAnsiTheme="majorHAnsi"/>
        </w:rPr>
        <w:t>documents</w:t>
      </w:r>
      <w:r>
        <w:rPr>
          <w:rFonts w:asciiTheme="majorHAnsi" w:hAnsiTheme="majorHAnsi"/>
        </w:rPr>
        <w:t>, workforce plans and strat</w:t>
      </w:r>
      <w:r w:rsidR="00B91DF9">
        <w:rPr>
          <w:rFonts w:asciiTheme="majorHAnsi" w:hAnsiTheme="majorHAnsi"/>
        </w:rPr>
        <w:t>e</w:t>
      </w:r>
      <w:r>
        <w:rPr>
          <w:rFonts w:asciiTheme="majorHAnsi" w:hAnsiTheme="majorHAnsi"/>
        </w:rPr>
        <w:t>gies</w:t>
      </w:r>
    </w:p>
    <w:p w:rsidR="00EF17F5" w:rsidRDefault="00B91DF9" w:rsidP="001D0BB1">
      <w:pPr>
        <w:pStyle w:val="ListParagraph"/>
        <w:numPr>
          <w:ilvl w:val="0"/>
          <w:numId w:val="4"/>
        </w:numPr>
        <w:spacing w:line="276" w:lineRule="auto"/>
        <w:contextualSpacing/>
        <w:rPr>
          <w:rFonts w:asciiTheme="majorHAnsi" w:hAnsiTheme="majorHAnsi"/>
        </w:rPr>
      </w:pPr>
      <w:r>
        <w:rPr>
          <w:rFonts w:asciiTheme="majorHAnsi" w:hAnsiTheme="majorHAnsi"/>
        </w:rPr>
        <w:t xml:space="preserve">Compare </w:t>
      </w:r>
      <w:r w:rsidR="00EF17F5">
        <w:rPr>
          <w:rFonts w:asciiTheme="majorHAnsi" w:hAnsiTheme="majorHAnsi"/>
        </w:rPr>
        <w:t>corrective services departments’ employment strategies in Australian and New Zealand jurisdictions</w:t>
      </w:r>
    </w:p>
    <w:p w:rsidR="00EF17F5" w:rsidRDefault="00B91DF9" w:rsidP="001D0BB1">
      <w:pPr>
        <w:pStyle w:val="ListParagraph"/>
        <w:numPr>
          <w:ilvl w:val="0"/>
          <w:numId w:val="4"/>
        </w:numPr>
        <w:spacing w:line="276" w:lineRule="auto"/>
        <w:contextualSpacing/>
        <w:rPr>
          <w:rFonts w:asciiTheme="majorHAnsi" w:hAnsiTheme="majorHAnsi"/>
        </w:rPr>
      </w:pPr>
      <w:r>
        <w:rPr>
          <w:rFonts w:asciiTheme="majorHAnsi" w:hAnsiTheme="majorHAnsi"/>
        </w:rPr>
        <w:t>Undertake interviews</w:t>
      </w:r>
      <w:r w:rsidR="001B32A5">
        <w:rPr>
          <w:rFonts w:asciiTheme="majorHAnsi" w:hAnsiTheme="majorHAnsi"/>
        </w:rPr>
        <w:t xml:space="preserve"> and conduct a survey</w:t>
      </w:r>
      <w:r>
        <w:rPr>
          <w:rFonts w:asciiTheme="majorHAnsi" w:hAnsiTheme="majorHAnsi"/>
        </w:rPr>
        <w:t xml:space="preserve"> of</w:t>
      </w:r>
      <w:r w:rsidR="00EF17F5">
        <w:rPr>
          <w:rFonts w:asciiTheme="majorHAnsi" w:hAnsiTheme="majorHAnsi"/>
        </w:rPr>
        <w:t xml:space="preserve"> Aboriginal and Torres Strait Islander staff</w:t>
      </w:r>
    </w:p>
    <w:p w:rsidR="00EF17F5" w:rsidRPr="007166DB" w:rsidRDefault="00B91DF9" w:rsidP="007166DB">
      <w:pPr>
        <w:pStyle w:val="ListParagraph"/>
        <w:numPr>
          <w:ilvl w:val="0"/>
          <w:numId w:val="4"/>
        </w:numPr>
        <w:tabs>
          <w:tab w:val="left" w:pos="142"/>
        </w:tabs>
        <w:spacing w:line="276" w:lineRule="auto"/>
        <w:contextualSpacing/>
        <w:rPr>
          <w:rFonts w:asciiTheme="majorHAnsi" w:hAnsiTheme="majorHAnsi"/>
        </w:rPr>
      </w:pPr>
      <w:r>
        <w:rPr>
          <w:rFonts w:asciiTheme="majorHAnsi" w:hAnsiTheme="majorHAnsi"/>
        </w:rPr>
        <w:t xml:space="preserve">Undertake interviews of </w:t>
      </w:r>
      <w:r w:rsidR="00EF17F5">
        <w:rPr>
          <w:rFonts w:asciiTheme="majorHAnsi" w:hAnsiTheme="majorHAnsi"/>
        </w:rPr>
        <w:t>staff</w:t>
      </w:r>
      <w:r>
        <w:rPr>
          <w:rFonts w:asciiTheme="majorHAnsi" w:hAnsiTheme="majorHAnsi"/>
        </w:rPr>
        <w:t xml:space="preserve"> responsible for recruitment, and those setting and implementing strategic priorities</w:t>
      </w:r>
    </w:p>
    <w:p w:rsidR="00783943" w:rsidRDefault="00783943" w:rsidP="00783943">
      <w:pPr>
        <w:pStyle w:val="Heading2"/>
      </w:pPr>
      <w:r>
        <w:t>Limitations</w:t>
      </w:r>
    </w:p>
    <w:p w:rsidR="00783943" w:rsidRPr="00AF2F9D" w:rsidRDefault="00783943" w:rsidP="00783943">
      <w:pPr>
        <w:rPr>
          <w:rFonts w:asciiTheme="majorHAnsi" w:hAnsiTheme="majorHAnsi"/>
        </w:rPr>
      </w:pPr>
      <w:r>
        <w:rPr>
          <w:rFonts w:asciiTheme="majorHAnsi" w:hAnsiTheme="majorHAnsi"/>
        </w:rPr>
        <w:t>This review will only include staff employed in the custodial environment, excluding those responsible for community corrections</w:t>
      </w:r>
      <w:r w:rsidR="006C0CBE">
        <w:rPr>
          <w:rFonts w:asciiTheme="majorHAnsi" w:hAnsiTheme="majorHAnsi"/>
        </w:rPr>
        <w:t xml:space="preserve"> as the latter is not the focus of the Office of the Inspector of Custodial Services.</w:t>
      </w:r>
      <w:r>
        <w:rPr>
          <w:rFonts w:asciiTheme="majorHAnsi" w:hAnsiTheme="majorHAnsi"/>
        </w:rPr>
        <w:t xml:space="preserve">  </w:t>
      </w:r>
    </w:p>
    <w:p w:rsidR="001D0BB1" w:rsidRPr="00705D25" w:rsidRDefault="001D0BB1" w:rsidP="001D0BB1">
      <w:pPr>
        <w:keepNext/>
        <w:keepLines/>
        <w:pBdr>
          <w:bottom w:val="single" w:sz="4" w:space="1" w:color="1F497D" w:themeColor="text2"/>
        </w:pBdr>
        <w:spacing w:before="480" w:after="60"/>
        <w:ind w:left="360" w:hanging="360"/>
        <w:outlineLvl w:val="0"/>
        <w:rPr>
          <w:rFonts w:asciiTheme="majorHAnsi" w:eastAsiaTheme="majorEastAsia" w:hAnsiTheme="majorHAnsi" w:cstheme="majorBidi"/>
          <w:b/>
          <w:bCs/>
          <w:color w:val="365F91" w:themeColor="accent1" w:themeShade="BF"/>
          <w:sz w:val="28"/>
          <w:szCs w:val="28"/>
        </w:rPr>
      </w:pPr>
      <w:r w:rsidRPr="00705D25">
        <w:rPr>
          <w:rFonts w:asciiTheme="majorHAnsi" w:eastAsiaTheme="majorEastAsia" w:hAnsiTheme="majorHAnsi" w:cstheme="majorBidi"/>
          <w:b/>
          <w:bCs/>
          <w:color w:val="365F91" w:themeColor="accent1" w:themeShade="BF"/>
          <w:sz w:val="28"/>
          <w:szCs w:val="28"/>
        </w:rPr>
        <w:t>Timeline</w:t>
      </w:r>
    </w:p>
    <w:p w:rsidR="001D0BB1" w:rsidRPr="00705D25" w:rsidRDefault="001D0BB1" w:rsidP="001D0BB1">
      <w:pPr>
        <w:rPr>
          <w:rFonts w:asciiTheme="majorHAnsi" w:hAnsiTheme="majorHAnsi"/>
        </w:rPr>
      </w:pPr>
      <w:r w:rsidRPr="00705D25">
        <w:rPr>
          <w:rFonts w:asciiTheme="majorHAnsi" w:hAnsiTheme="majorHAnsi"/>
        </w:rPr>
        <w:t>Th</w:t>
      </w:r>
      <w:r w:rsidR="001610DA">
        <w:rPr>
          <w:rFonts w:asciiTheme="majorHAnsi" w:hAnsiTheme="majorHAnsi"/>
        </w:rPr>
        <w:t>e review</w:t>
      </w:r>
      <w:r w:rsidR="001B32A5">
        <w:rPr>
          <w:rFonts w:asciiTheme="majorHAnsi" w:hAnsiTheme="majorHAnsi"/>
        </w:rPr>
        <w:t xml:space="preserve"> is expected to begin in February 2014</w:t>
      </w:r>
      <w:r w:rsidRPr="00705D25">
        <w:rPr>
          <w:rFonts w:asciiTheme="majorHAnsi" w:hAnsiTheme="majorHAnsi"/>
        </w:rPr>
        <w:t xml:space="preserve"> </w:t>
      </w:r>
      <w:r w:rsidR="00935E83">
        <w:rPr>
          <w:rFonts w:asciiTheme="majorHAnsi" w:hAnsiTheme="majorHAnsi"/>
        </w:rPr>
        <w:t>and will be</w:t>
      </w:r>
      <w:r w:rsidRPr="00705D25">
        <w:rPr>
          <w:rFonts w:asciiTheme="majorHAnsi" w:hAnsiTheme="majorHAnsi"/>
        </w:rPr>
        <w:t xml:space="preserve"> provided to the Standing Committee on Public Administration or tabled in Parliament in</w:t>
      </w:r>
      <w:r w:rsidR="00C903C1">
        <w:rPr>
          <w:rFonts w:asciiTheme="majorHAnsi" w:hAnsiTheme="majorHAnsi"/>
        </w:rPr>
        <w:t xml:space="preserve"> </w:t>
      </w:r>
      <w:r w:rsidR="00135662">
        <w:rPr>
          <w:rFonts w:asciiTheme="majorHAnsi" w:hAnsiTheme="majorHAnsi"/>
        </w:rPr>
        <w:t>Octob</w:t>
      </w:r>
      <w:r w:rsidR="00C903C1">
        <w:rPr>
          <w:rFonts w:asciiTheme="majorHAnsi" w:hAnsiTheme="majorHAnsi"/>
        </w:rPr>
        <w:t>er 2014</w:t>
      </w:r>
      <w:r w:rsidR="00F55939">
        <w:rPr>
          <w:rFonts w:asciiTheme="majorHAnsi" w:hAnsiTheme="majorHAnsi"/>
        </w:rPr>
        <w:t>.</w:t>
      </w:r>
    </w:p>
    <w:p w:rsidR="001D0BB1" w:rsidRPr="00705D25" w:rsidRDefault="00AE0889" w:rsidP="001D0BB1">
      <w:pPr>
        <w:pStyle w:val="ListParagraph"/>
        <w:numPr>
          <w:ilvl w:val="0"/>
          <w:numId w:val="2"/>
        </w:numPr>
        <w:tabs>
          <w:tab w:val="left" w:pos="2127"/>
        </w:tabs>
        <w:spacing w:line="360" w:lineRule="auto"/>
        <w:contextualSpacing/>
        <w:rPr>
          <w:rFonts w:asciiTheme="majorHAnsi" w:hAnsiTheme="majorHAnsi"/>
        </w:rPr>
      </w:pPr>
      <w:r>
        <w:rPr>
          <w:rFonts w:asciiTheme="majorHAnsi" w:hAnsiTheme="majorHAnsi"/>
        </w:rPr>
        <w:t>13</w:t>
      </w:r>
      <w:r w:rsidR="00F764F1">
        <w:rPr>
          <w:rFonts w:asciiTheme="majorHAnsi" w:hAnsiTheme="majorHAnsi"/>
        </w:rPr>
        <w:t>/02</w:t>
      </w:r>
      <w:r w:rsidR="001D0BB1" w:rsidRPr="00705D25">
        <w:rPr>
          <w:rFonts w:asciiTheme="majorHAnsi" w:hAnsiTheme="majorHAnsi"/>
        </w:rPr>
        <w:t>/201</w:t>
      </w:r>
      <w:r w:rsidR="003916D3">
        <w:rPr>
          <w:rFonts w:asciiTheme="majorHAnsi" w:hAnsiTheme="majorHAnsi"/>
        </w:rPr>
        <w:t>4</w:t>
      </w:r>
      <w:r w:rsidR="001610DA">
        <w:rPr>
          <w:rFonts w:asciiTheme="majorHAnsi" w:hAnsiTheme="majorHAnsi"/>
        </w:rPr>
        <w:tab/>
        <w:t>Review</w:t>
      </w:r>
      <w:r w:rsidR="001D0BB1" w:rsidRPr="00705D25">
        <w:rPr>
          <w:rFonts w:asciiTheme="majorHAnsi" w:hAnsiTheme="majorHAnsi"/>
        </w:rPr>
        <w:t xml:space="preserve"> initiated, DCS notified</w:t>
      </w:r>
    </w:p>
    <w:p w:rsidR="001D0BB1" w:rsidRPr="00705D25" w:rsidRDefault="004A44F5" w:rsidP="001D0BB1">
      <w:pPr>
        <w:pStyle w:val="ListParagraph"/>
        <w:numPr>
          <w:ilvl w:val="0"/>
          <w:numId w:val="2"/>
        </w:numPr>
        <w:tabs>
          <w:tab w:val="left" w:pos="2127"/>
        </w:tabs>
        <w:spacing w:line="360" w:lineRule="auto"/>
        <w:contextualSpacing/>
        <w:rPr>
          <w:rFonts w:asciiTheme="majorHAnsi" w:hAnsiTheme="majorHAnsi"/>
        </w:rPr>
      </w:pPr>
      <w:r>
        <w:rPr>
          <w:rFonts w:asciiTheme="majorHAnsi" w:hAnsiTheme="majorHAnsi"/>
        </w:rPr>
        <w:t>01</w:t>
      </w:r>
      <w:r w:rsidR="00F764F1">
        <w:rPr>
          <w:rFonts w:asciiTheme="majorHAnsi" w:hAnsiTheme="majorHAnsi"/>
        </w:rPr>
        <w:t>/0</w:t>
      </w:r>
      <w:r w:rsidR="00135662">
        <w:rPr>
          <w:rFonts w:asciiTheme="majorHAnsi" w:hAnsiTheme="majorHAnsi"/>
        </w:rPr>
        <w:t>9</w:t>
      </w:r>
      <w:r w:rsidR="003916D3">
        <w:rPr>
          <w:rFonts w:asciiTheme="majorHAnsi" w:hAnsiTheme="majorHAnsi"/>
        </w:rPr>
        <w:t>/2014</w:t>
      </w:r>
      <w:r w:rsidR="001D0BB1" w:rsidRPr="00705D25">
        <w:rPr>
          <w:rFonts w:asciiTheme="majorHAnsi" w:hAnsiTheme="majorHAnsi"/>
        </w:rPr>
        <w:tab/>
        <w:t>Draft to DCS</w:t>
      </w:r>
    </w:p>
    <w:p w:rsidR="001D0BB1" w:rsidRPr="00705D25" w:rsidRDefault="004A44F5" w:rsidP="001D0BB1">
      <w:pPr>
        <w:pStyle w:val="ListParagraph"/>
        <w:numPr>
          <w:ilvl w:val="0"/>
          <w:numId w:val="2"/>
        </w:numPr>
        <w:tabs>
          <w:tab w:val="left" w:pos="2127"/>
        </w:tabs>
        <w:spacing w:line="360" w:lineRule="auto"/>
        <w:contextualSpacing/>
        <w:rPr>
          <w:rFonts w:asciiTheme="majorHAnsi" w:hAnsiTheme="majorHAnsi"/>
        </w:rPr>
      </w:pPr>
      <w:r>
        <w:rPr>
          <w:rFonts w:asciiTheme="majorHAnsi" w:hAnsiTheme="majorHAnsi"/>
        </w:rPr>
        <w:t>29</w:t>
      </w:r>
      <w:r w:rsidR="00F764F1">
        <w:rPr>
          <w:rFonts w:asciiTheme="majorHAnsi" w:hAnsiTheme="majorHAnsi"/>
        </w:rPr>
        <w:t>/09</w:t>
      </w:r>
      <w:r w:rsidR="003916D3">
        <w:rPr>
          <w:rFonts w:asciiTheme="majorHAnsi" w:hAnsiTheme="majorHAnsi"/>
        </w:rPr>
        <w:t>/2014</w:t>
      </w:r>
      <w:r w:rsidR="001D0BB1" w:rsidRPr="00705D25">
        <w:rPr>
          <w:rFonts w:asciiTheme="majorHAnsi" w:hAnsiTheme="majorHAnsi"/>
        </w:rPr>
        <w:tab/>
        <w:t>Response by DCS</w:t>
      </w:r>
    </w:p>
    <w:p w:rsidR="001D0BB1" w:rsidRPr="00705D25" w:rsidRDefault="002B7929" w:rsidP="001D0BB1">
      <w:pPr>
        <w:pStyle w:val="ListParagraph"/>
        <w:numPr>
          <w:ilvl w:val="0"/>
          <w:numId w:val="2"/>
        </w:numPr>
        <w:tabs>
          <w:tab w:val="left" w:pos="2127"/>
        </w:tabs>
        <w:spacing w:line="360" w:lineRule="auto"/>
        <w:contextualSpacing/>
        <w:rPr>
          <w:rFonts w:asciiTheme="majorHAnsi" w:hAnsiTheme="majorHAnsi"/>
        </w:rPr>
      </w:pPr>
      <w:r>
        <w:rPr>
          <w:rFonts w:asciiTheme="majorHAnsi" w:hAnsiTheme="majorHAnsi"/>
        </w:rPr>
        <w:t>06</w:t>
      </w:r>
      <w:r w:rsidR="005D07EF">
        <w:rPr>
          <w:rFonts w:asciiTheme="majorHAnsi" w:hAnsiTheme="majorHAnsi"/>
        </w:rPr>
        <w:t>/</w:t>
      </w:r>
      <w:r w:rsidR="00135662">
        <w:rPr>
          <w:rFonts w:asciiTheme="majorHAnsi" w:hAnsiTheme="majorHAnsi"/>
        </w:rPr>
        <w:t>10</w:t>
      </w:r>
      <w:r w:rsidR="003916D3">
        <w:rPr>
          <w:rFonts w:asciiTheme="majorHAnsi" w:hAnsiTheme="majorHAnsi"/>
        </w:rPr>
        <w:t>/2014</w:t>
      </w:r>
      <w:r w:rsidR="001D0BB1" w:rsidRPr="00705D25">
        <w:rPr>
          <w:rFonts w:asciiTheme="majorHAnsi" w:hAnsiTheme="majorHAnsi"/>
        </w:rPr>
        <w:tab/>
        <w:t xml:space="preserve">Report tabled or provided to Standing Committee on Public </w:t>
      </w:r>
      <w:r w:rsidR="005D07EF">
        <w:rPr>
          <w:rFonts w:asciiTheme="majorHAnsi" w:hAnsiTheme="majorHAnsi"/>
        </w:rPr>
        <w:tab/>
      </w:r>
      <w:r w:rsidR="001D0BB1" w:rsidRPr="00705D25">
        <w:rPr>
          <w:rFonts w:asciiTheme="majorHAnsi" w:hAnsiTheme="majorHAnsi"/>
        </w:rPr>
        <w:t>Administration</w:t>
      </w:r>
    </w:p>
    <w:p w:rsidR="00D76619" w:rsidRDefault="00D76619" w:rsidP="001D0BB1"/>
    <w:p w:rsidR="00D76619" w:rsidRDefault="00D76619" w:rsidP="001D0BB1"/>
    <w:sectPr w:rsidR="00D76619" w:rsidSect="00171F3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EBA" w:rsidRDefault="00104EBA" w:rsidP="007B2C89">
      <w:pPr>
        <w:spacing w:after="0" w:line="240" w:lineRule="auto"/>
      </w:pPr>
      <w:r>
        <w:separator/>
      </w:r>
    </w:p>
  </w:endnote>
  <w:endnote w:type="continuationSeparator" w:id="0">
    <w:p w:rsidR="00104EBA" w:rsidRDefault="00104EBA" w:rsidP="007B2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EBA" w:rsidRDefault="00104EBA" w:rsidP="007B2C89">
      <w:pPr>
        <w:spacing w:after="0" w:line="240" w:lineRule="auto"/>
      </w:pPr>
      <w:r>
        <w:separator/>
      </w:r>
    </w:p>
  </w:footnote>
  <w:footnote w:type="continuationSeparator" w:id="0">
    <w:p w:rsidR="00104EBA" w:rsidRDefault="00104EBA" w:rsidP="007B2C89">
      <w:pPr>
        <w:spacing w:after="0" w:line="240" w:lineRule="auto"/>
      </w:pPr>
      <w:r>
        <w:continuationSeparator/>
      </w:r>
    </w:p>
  </w:footnote>
  <w:footnote w:id="1">
    <w:p w:rsidR="00104EBA" w:rsidRDefault="00104EBA">
      <w:pPr>
        <w:pStyle w:val="FootnoteText"/>
      </w:pPr>
      <w:r>
        <w:rPr>
          <w:rStyle w:val="FootnoteReference"/>
        </w:rPr>
        <w:footnoteRef/>
      </w:r>
      <w:r>
        <w:t xml:space="preserve"> Department of Corrective Services (DCS), </w:t>
      </w:r>
      <w:r w:rsidRPr="003F24BA">
        <w:rPr>
          <w:i/>
        </w:rPr>
        <w:t>Annual Report 2011-2012</w:t>
      </w:r>
      <w:r>
        <w:t xml:space="preserve"> (September), 29.</w:t>
      </w:r>
    </w:p>
  </w:footnote>
  <w:footnote w:id="2">
    <w:p w:rsidR="00104EBA" w:rsidRDefault="00104EBA">
      <w:pPr>
        <w:pStyle w:val="FootnoteText"/>
      </w:pPr>
      <w:r>
        <w:rPr>
          <w:rStyle w:val="FootnoteReference"/>
        </w:rPr>
        <w:footnoteRef/>
      </w:r>
      <w:r>
        <w:t xml:space="preserve"> ABS, 2011 Census Counts – Aboriginal and Torres Strait Islander Peoples,  </w:t>
      </w:r>
      <w:r w:rsidRPr="006C781F">
        <w:t>http://www.abs.gov.au/ausstats/abs@.nsf/Lookup/2075.0main+features32011</w:t>
      </w:r>
    </w:p>
  </w:footnote>
  <w:footnote w:id="3">
    <w:p w:rsidR="00104EBA" w:rsidRPr="00203D04" w:rsidRDefault="00104EBA" w:rsidP="00F86BEC">
      <w:pPr>
        <w:pStyle w:val="FootnoteText"/>
        <w:rPr>
          <w:i/>
        </w:rPr>
      </w:pPr>
      <w:r>
        <w:rPr>
          <w:rStyle w:val="FootnoteReference"/>
        </w:rPr>
        <w:footnoteRef/>
      </w:r>
      <w:r>
        <w:t xml:space="preserve"> Department of Corrective Services (DCS), </w:t>
      </w:r>
      <w:r>
        <w:rPr>
          <w:i/>
        </w:rPr>
        <w:t>Workforce Strategic Framework 2012-2014.</w:t>
      </w:r>
    </w:p>
  </w:footnote>
  <w:footnote w:id="4">
    <w:p w:rsidR="00104EBA" w:rsidRDefault="00104EBA" w:rsidP="009F6486">
      <w:pPr>
        <w:pStyle w:val="FootnoteText"/>
      </w:pPr>
      <w:r>
        <w:rPr>
          <w:rStyle w:val="FootnoteReference"/>
        </w:rPr>
        <w:footnoteRef/>
      </w:r>
      <w:r>
        <w:t xml:space="preserve"> The total number of departmental employees reduced by three between April and July 2013 however the number of Aboriginal staff increased by 21. This may be explained by the improved EEO Diversity Survey response rate between these dates from 58.9% to 60.3%.</w:t>
      </w:r>
    </w:p>
  </w:footnote>
  <w:footnote w:id="5">
    <w:p w:rsidR="00104EBA" w:rsidRDefault="00104EBA" w:rsidP="009F6486">
      <w:pPr>
        <w:pStyle w:val="FootnoteText"/>
      </w:pPr>
      <w:r>
        <w:rPr>
          <w:rStyle w:val="FootnoteReference"/>
        </w:rPr>
        <w:footnoteRef/>
      </w:r>
      <w:r>
        <w:t xml:space="preserve"> Advice provided by Department of Corrective Services, Aboriginal Workforce Development Unit.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6611"/>
    <w:multiLevelType w:val="hybridMultilevel"/>
    <w:tmpl w:val="C5F28AFE"/>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0D273714"/>
    <w:multiLevelType w:val="hybridMultilevel"/>
    <w:tmpl w:val="6E60B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3B24A21"/>
    <w:multiLevelType w:val="hybridMultilevel"/>
    <w:tmpl w:val="34FE5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7773F24"/>
    <w:multiLevelType w:val="hybridMultilevel"/>
    <w:tmpl w:val="F71A4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301608F0"/>
    <w:multiLevelType w:val="hybridMultilevel"/>
    <w:tmpl w:val="D22EC8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2FA5F16"/>
    <w:multiLevelType w:val="hybridMultilevel"/>
    <w:tmpl w:val="21645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6872723"/>
    <w:multiLevelType w:val="hybridMultilevel"/>
    <w:tmpl w:val="DBD05CAC"/>
    <w:lvl w:ilvl="0" w:tplc="81C601C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417313B5"/>
    <w:multiLevelType w:val="hybridMultilevel"/>
    <w:tmpl w:val="AB348C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5F017000"/>
    <w:multiLevelType w:val="hybridMultilevel"/>
    <w:tmpl w:val="E438D4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9AB1A5C"/>
    <w:multiLevelType w:val="hybridMultilevel"/>
    <w:tmpl w:val="D9D20DA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nsid w:val="76346A81"/>
    <w:multiLevelType w:val="hybridMultilevel"/>
    <w:tmpl w:val="43C2E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8B505A2"/>
    <w:multiLevelType w:val="hybridMultilevel"/>
    <w:tmpl w:val="7E0C2B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D8239B2"/>
    <w:multiLevelType w:val="hybridMultilevel"/>
    <w:tmpl w:val="91BEC0E0"/>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2"/>
  </w:num>
  <w:num w:numId="2">
    <w:abstractNumId w:val="0"/>
  </w:num>
  <w:num w:numId="3">
    <w:abstractNumId w:val="7"/>
  </w:num>
  <w:num w:numId="4">
    <w:abstractNumId w:val="11"/>
  </w:num>
  <w:num w:numId="5">
    <w:abstractNumId w:val="12"/>
  </w:num>
  <w:num w:numId="6">
    <w:abstractNumId w:val="10"/>
  </w:num>
  <w:num w:numId="7">
    <w:abstractNumId w:val="4"/>
  </w:num>
  <w:num w:numId="8">
    <w:abstractNumId w:val="8"/>
  </w:num>
  <w:num w:numId="9">
    <w:abstractNumId w:val="6"/>
  </w:num>
  <w:num w:numId="10">
    <w:abstractNumId w:val="1"/>
  </w:num>
  <w:num w:numId="11">
    <w:abstractNumId w:val="5"/>
  </w:num>
  <w:num w:numId="12">
    <w:abstractNumId w:val="2"/>
  </w:num>
  <w:num w:numId="13">
    <w:abstractNumId w:val="9"/>
  </w:num>
  <w:num w:numId="14">
    <w:abstractNumId w:val="3"/>
  </w:num>
  <w:num w:numId="15">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BB1"/>
    <w:rsid w:val="00015979"/>
    <w:rsid w:val="000217D6"/>
    <w:rsid w:val="0003484D"/>
    <w:rsid w:val="000352FC"/>
    <w:rsid w:val="00052121"/>
    <w:rsid w:val="0008643C"/>
    <w:rsid w:val="00093179"/>
    <w:rsid w:val="00094479"/>
    <w:rsid w:val="000C0DA9"/>
    <w:rsid w:val="000C5449"/>
    <w:rsid w:val="000D526B"/>
    <w:rsid w:val="00104A7B"/>
    <w:rsid w:val="00104EBA"/>
    <w:rsid w:val="001322F2"/>
    <w:rsid w:val="00135662"/>
    <w:rsid w:val="00140113"/>
    <w:rsid w:val="001475ED"/>
    <w:rsid w:val="001610DA"/>
    <w:rsid w:val="00171F3F"/>
    <w:rsid w:val="00175D83"/>
    <w:rsid w:val="001B32A5"/>
    <w:rsid w:val="001C08FF"/>
    <w:rsid w:val="001C1761"/>
    <w:rsid w:val="001D0BB1"/>
    <w:rsid w:val="001F4309"/>
    <w:rsid w:val="001F43E8"/>
    <w:rsid w:val="0020351D"/>
    <w:rsid w:val="00203D04"/>
    <w:rsid w:val="00241297"/>
    <w:rsid w:val="00247839"/>
    <w:rsid w:val="00247EE7"/>
    <w:rsid w:val="00253FB1"/>
    <w:rsid w:val="002713AC"/>
    <w:rsid w:val="0027338A"/>
    <w:rsid w:val="002762CB"/>
    <w:rsid w:val="0028225B"/>
    <w:rsid w:val="00286430"/>
    <w:rsid w:val="00287CD8"/>
    <w:rsid w:val="002B4D13"/>
    <w:rsid w:val="002B7929"/>
    <w:rsid w:val="00311E47"/>
    <w:rsid w:val="003751F3"/>
    <w:rsid w:val="003851C4"/>
    <w:rsid w:val="0038571F"/>
    <w:rsid w:val="003916D3"/>
    <w:rsid w:val="003F24BA"/>
    <w:rsid w:val="00426FF4"/>
    <w:rsid w:val="00441EC0"/>
    <w:rsid w:val="004806E7"/>
    <w:rsid w:val="00495957"/>
    <w:rsid w:val="004A44F5"/>
    <w:rsid w:val="004B38F3"/>
    <w:rsid w:val="004C291E"/>
    <w:rsid w:val="004C4E8C"/>
    <w:rsid w:val="004D2ADB"/>
    <w:rsid w:val="004E0CF0"/>
    <w:rsid w:val="004E2842"/>
    <w:rsid w:val="00505B03"/>
    <w:rsid w:val="005136D9"/>
    <w:rsid w:val="0052584A"/>
    <w:rsid w:val="005332A6"/>
    <w:rsid w:val="00545A38"/>
    <w:rsid w:val="005756CC"/>
    <w:rsid w:val="00576B42"/>
    <w:rsid w:val="0058163B"/>
    <w:rsid w:val="005957A2"/>
    <w:rsid w:val="005C1EA1"/>
    <w:rsid w:val="005C4357"/>
    <w:rsid w:val="005D07EF"/>
    <w:rsid w:val="0061579C"/>
    <w:rsid w:val="00622C41"/>
    <w:rsid w:val="006230C3"/>
    <w:rsid w:val="006338BB"/>
    <w:rsid w:val="00641A8F"/>
    <w:rsid w:val="006508B9"/>
    <w:rsid w:val="00654D2D"/>
    <w:rsid w:val="006802B9"/>
    <w:rsid w:val="006855E8"/>
    <w:rsid w:val="006856A9"/>
    <w:rsid w:val="0069444E"/>
    <w:rsid w:val="00696AF0"/>
    <w:rsid w:val="006B0722"/>
    <w:rsid w:val="006C0CBE"/>
    <w:rsid w:val="006C5B81"/>
    <w:rsid w:val="006C781F"/>
    <w:rsid w:val="006D2A27"/>
    <w:rsid w:val="006D3496"/>
    <w:rsid w:val="006D456E"/>
    <w:rsid w:val="006E4A50"/>
    <w:rsid w:val="006F1711"/>
    <w:rsid w:val="006F4306"/>
    <w:rsid w:val="006F78D6"/>
    <w:rsid w:val="007034B1"/>
    <w:rsid w:val="00716358"/>
    <w:rsid w:val="007166DB"/>
    <w:rsid w:val="0075385E"/>
    <w:rsid w:val="00755FB0"/>
    <w:rsid w:val="00777583"/>
    <w:rsid w:val="00783943"/>
    <w:rsid w:val="007B2C89"/>
    <w:rsid w:val="007B7301"/>
    <w:rsid w:val="007F524E"/>
    <w:rsid w:val="0080011E"/>
    <w:rsid w:val="00807A3A"/>
    <w:rsid w:val="00835079"/>
    <w:rsid w:val="00841755"/>
    <w:rsid w:val="00845898"/>
    <w:rsid w:val="00851DB9"/>
    <w:rsid w:val="00852D5E"/>
    <w:rsid w:val="008573DE"/>
    <w:rsid w:val="008A6576"/>
    <w:rsid w:val="008B706F"/>
    <w:rsid w:val="008C2454"/>
    <w:rsid w:val="008D3F59"/>
    <w:rsid w:val="008E2BA0"/>
    <w:rsid w:val="00902C73"/>
    <w:rsid w:val="0091081F"/>
    <w:rsid w:val="00911F70"/>
    <w:rsid w:val="00935339"/>
    <w:rsid w:val="00935E83"/>
    <w:rsid w:val="00941A7B"/>
    <w:rsid w:val="00960E2C"/>
    <w:rsid w:val="009645C0"/>
    <w:rsid w:val="009725AD"/>
    <w:rsid w:val="009944AF"/>
    <w:rsid w:val="00997F71"/>
    <w:rsid w:val="009C48C3"/>
    <w:rsid w:val="009F4751"/>
    <w:rsid w:val="009F6486"/>
    <w:rsid w:val="00A00D5B"/>
    <w:rsid w:val="00A01365"/>
    <w:rsid w:val="00A0295A"/>
    <w:rsid w:val="00A05512"/>
    <w:rsid w:val="00A25BB1"/>
    <w:rsid w:val="00A26CCF"/>
    <w:rsid w:val="00A4135E"/>
    <w:rsid w:val="00A57B3F"/>
    <w:rsid w:val="00A61DC6"/>
    <w:rsid w:val="00A83DA3"/>
    <w:rsid w:val="00A85AAE"/>
    <w:rsid w:val="00AA176F"/>
    <w:rsid w:val="00AA406E"/>
    <w:rsid w:val="00AC0E12"/>
    <w:rsid w:val="00AC47FF"/>
    <w:rsid w:val="00AC49D4"/>
    <w:rsid w:val="00AD1B20"/>
    <w:rsid w:val="00AE0889"/>
    <w:rsid w:val="00AE7F80"/>
    <w:rsid w:val="00AF4951"/>
    <w:rsid w:val="00B30880"/>
    <w:rsid w:val="00B37DFE"/>
    <w:rsid w:val="00B67143"/>
    <w:rsid w:val="00B721BF"/>
    <w:rsid w:val="00B80BD5"/>
    <w:rsid w:val="00B91DF9"/>
    <w:rsid w:val="00BE7804"/>
    <w:rsid w:val="00BF7567"/>
    <w:rsid w:val="00C4752D"/>
    <w:rsid w:val="00C6691D"/>
    <w:rsid w:val="00C82D3A"/>
    <w:rsid w:val="00C903C1"/>
    <w:rsid w:val="00C971F0"/>
    <w:rsid w:val="00CC3BD5"/>
    <w:rsid w:val="00CC45D3"/>
    <w:rsid w:val="00CC7D45"/>
    <w:rsid w:val="00CD582A"/>
    <w:rsid w:val="00CD63F9"/>
    <w:rsid w:val="00CE78A2"/>
    <w:rsid w:val="00CF2149"/>
    <w:rsid w:val="00CF5191"/>
    <w:rsid w:val="00D123F0"/>
    <w:rsid w:val="00D37C0C"/>
    <w:rsid w:val="00D6015C"/>
    <w:rsid w:val="00D76619"/>
    <w:rsid w:val="00D947D9"/>
    <w:rsid w:val="00D974A0"/>
    <w:rsid w:val="00DA4ECC"/>
    <w:rsid w:val="00DC612A"/>
    <w:rsid w:val="00DD345A"/>
    <w:rsid w:val="00DE49B4"/>
    <w:rsid w:val="00E27C03"/>
    <w:rsid w:val="00E3422B"/>
    <w:rsid w:val="00E53363"/>
    <w:rsid w:val="00E57B1D"/>
    <w:rsid w:val="00E7593B"/>
    <w:rsid w:val="00EA7352"/>
    <w:rsid w:val="00EC4142"/>
    <w:rsid w:val="00ED57F7"/>
    <w:rsid w:val="00EF17F5"/>
    <w:rsid w:val="00EF5375"/>
    <w:rsid w:val="00F55939"/>
    <w:rsid w:val="00F61602"/>
    <w:rsid w:val="00F70078"/>
    <w:rsid w:val="00F71871"/>
    <w:rsid w:val="00F75827"/>
    <w:rsid w:val="00F764F1"/>
    <w:rsid w:val="00F84A74"/>
    <w:rsid w:val="00F86BEC"/>
    <w:rsid w:val="00F97181"/>
    <w:rsid w:val="00FA5E2C"/>
    <w:rsid w:val="00FD57C1"/>
    <w:rsid w:val="00FD60D7"/>
    <w:rsid w:val="00FF01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BB1"/>
  </w:style>
  <w:style w:type="paragraph" w:styleId="Heading1">
    <w:name w:val="heading 1"/>
    <w:basedOn w:val="Normal"/>
    <w:next w:val="Normal"/>
    <w:link w:val="Heading1Char"/>
    <w:uiPriority w:val="9"/>
    <w:qFormat/>
    <w:rsid w:val="0028225B"/>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A17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A176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C0E1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25B"/>
    <w:rPr>
      <w:rFonts w:asciiTheme="majorHAnsi" w:eastAsiaTheme="majorEastAsia" w:hAnsiTheme="majorHAnsi" w:cstheme="majorBidi"/>
      <w:b/>
      <w:bCs/>
      <w:sz w:val="28"/>
      <w:szCs w:val="28"/>
    </w:rPr>
  </w:style>
  <w:style w:type="paragraph" w:styleId="ListParagraph">
    <w:name w:val="List Paragraph"/>
    <w:basedOn w:val="Normal"/>
    <w:uiPriority w:val="34"/>
    <w:qFormat/>
    <w:rsid w:val="001D0BB1"/>
    <w:pPr>
      <w:spacing w:after="0" w:line="240" w:lineRule="auto"/>
      <w:ind w:left="720"/>
    </w:pPr>
    <w:rPr>
      <w:rFonts w:ascii="Calibri" w:hAnsi="Calibri" w:cs="Calibri"/>
      <w:lang w:eastAsia="en-AU"/>
    </w:rPr>
  </w:style>
  <w:style w:type="table" w:styleId="TableGrid">
    <w:name w:val="Table Grid"/>
    <w:basedOn w:val="TableNormal"/>
    <w:uiPriority w:val="59"/>
    <w:rsid w:val="001D0B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AA17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A176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C0E12"/>
    <w:rPr>
      <w:rFonts w:asciiTheme="majorHAnsi" w:eastAsiaTheme="majorEastAsia" w:hAnsiTheme="majorHAnsi" w:cstheme="majorBidi"/>
      <w:b/>
      <w:bCs/>
      <w:i/>
      <w:iCs/>
      <w:color w:val="4F81BD" w:themeColor="accent1"/>
    </w:rPr>
  </w:style>
  <w:style w:type="paragraph" w:styleId="FootnoteText">
    <w:name w:val="footnote text"/>
    <w:basedOn w:val="Normal"/>
    <w:link w:val="FootnoteTextChar"/>
    <w:uiPriority w:val="99"/>
    <w:semiHidden/>
    <w:unhideWhenUsed/>
    <w:rsid w:val="007B2C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2C89"/>
    <w:rPr>
      <w:sz w:val="20"/>
      <w:szCs w:val="20"/>
    </w:rPr>
  </w:style>
  <w:style w:type="character" w:styleId="FootnoteReference">
    <w:name w:val="footnote reference"/>
    <w:basedOn w:val="DefaultParagraphFont"/>
    <w:uiPriority w:val="99"/>
    <w:semiHidden/>
    <w:unhideWhenUsed/>
    <w:rsid w:val="007B2C89"/>
    <w:rPr>
      <w:vertAlign w:val="superscript"/>
    </w:rPr>
  </w:style>
  <w:style w:type="character" w:styleId="Hyperlink">
    <w:name w:val="Hyperlink"/>
    <w:basedOn w:val="DefaultParagraphFont"/>
    <w:uiPriority w:val="99"/>
    <w:unhideWhenUsed/>
    <w:rsid w:val="00BF7567"/>
    <w:rPr>
      <w:color w:val="0000FF" w:themeColor="hyperlink"/>
      <w:u w:val="single"/>
    </w:rPr>
  </w:style>
  <w:style w:type="table" w:customStyle="1" w:styleId="Style1">
    <w:name w:val="Style1"/>
    <w:basedOn w:val="TableNormal"/>
    <w:uiPriority w:val="99"/>
    <w:rsid w:val="00FF019C"/>
    <w:pPr>
      <w:spacing w:after="0" w:line="240" w:lineRule="auto"/>
    </w:pPr>
    <w:rPr>
      <w:rFonts w:ascii="Cambria" w:hAnsi="Cambria"/>
    </w:rPr>
    <w:tblPr>
      <w:tblInd w:w="0" w:type="dxa"/>
      <w:tblBorders>
        <w:bottom w:val="single" w:sz="2" w:space="0" w:color="A2BDDA"/>
        <w:insideH w:val="single" w:sz="2" w:space="0" w:color="A2BDDA"/>
      </w:tblBorders>
      <w:tblCellMar>
        <w:top w:w="0" w:type="dxa"/>
        <w:left w:w="108" w:type="dxa"/>
        <w:bottom w:w="0" w:type="dxa"/>
        <w:right w:w="108" w:type="dxa"/>
      </w:tblCellMar>
    </w:tblPr>
    <w:tcPr>
      <w:vAlign w:val="center"/>
    </w:tcPr>
    <w:tblStylePr w:type="firstRow">
      <w:pPr>
        <w:jc w:val="center"/>
      </w:pPr>
      <w:rPr>
        <w:rFonts w:asciiTheme="majorHAnsi" w:hAnsiTheme="majorHAnsi" w:hint="default"/>
        <w:b/>
        <w:sz w:val="22"/>
        <w:szCs w:val="22"/>
      </w:rPr>
      <w:tblPr/>
      <w:tcPr>
        <w:tcBorders>
          <w:top w:val="single" w:sz="2" w:space="0" w:color="A2BDDA"/>
          <w:left w:val="nil"/>
          <w:bottom w:val="nil"/>
          <w:right w:val="nil"/>
          <w:insideH w:val="nil"/>
          <w:insideV w:val="nil"/>
        </w:tcBorders>
        <w:shd w:val="clear" w:color="auto" w:fill="DCE6F1"/>
      </w:tcPr>
    </w:tblStylePr>
  </w:style>
  <w:style w:type="character" w:styleId="Emphasis">
    <w:name w:val="Emphasis"/>
    <w:basedOn w:val="DefaultParagraphFont"/>
    <w:uiPriority w:val="20"/>
    <w:qFormat/>
    <w:rsid w:val="00A01365"/>
    <w:rPr>
      <w:i/>
      <w:iCs/>
    </w:rPr>
  </w:style>
  <w:style w:type="paragraph" w:styleId="BalloonText">
    <w:name w:val="Balloon Text"/>
    <w:basedOn w:val="Normal"/>
    <w:link w:val="BalloonTextChar"/>
    <w:uiPriority w:val="99"/>
    <w:semiHidden/>
    <w:unhideWhenUsed/>
    <w:rsid w:val="001B3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2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BB1"/>
  </w:style>
  <w:style w:type="paragraph" w:styleId="Heading1">
    <w:name w:val="heading 1"/>
    <w:basedOn w:val="Normal"/>
    <w:next w:val="Normal"/>
    <w:link w:val="Heading1Char"/>
    <w:uiPriority w:val="9"/>
    <w:qFormat/>
    <w:rsid w:val="0028225B"/>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A17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A176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C0E1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25B"/>
    <w:rPr>
      <w:rFonts w:asciiTheme="majorHAnsi" w:eastAsiaTheme="majorEastAsia" w:hAnsiTheme="majorHAnsi" w:cstheme="majorBidi"/>
      <w:b/>
      <w:bCs/>
      <w:sz w:val="28"/>
      <w:szCs w:val="28"/>
    </w:rPr>
  </w:style>
  <w:style w:type="paragraph" w:styleId="ListParagraph">
    <w:name w:val="List Paragraph"/>
    <w:basedOn w:val="Normal"/>
    <w:uiPriority w:val="34"/>
    <w:qFormat/>
    <w:rsid w:val="001D0BB1"/>
    <w:pPr>
      <w:spacing w:after="0" w:line="240" w:lineRule="auto"/>
      <w:ind w:left="720"/>
    </w:pPr>
    <w:rPr>
      <w:rFonts w:ascii="Calibri" w:hAnsi="Calibri" w:cs="Calibri"/>
      <w:lang w:eastAsia="en-AU"/>
    </w:rPr>
  </w:style>
  <w:style w:type="table" w:styleId="TableGrid">
    <w:name w:val="Table Grid"/>
    <w:basedOn w:val="TableNormal"/>
    <w:uiPriority w:val="59"/>
    <w:rsid w:val="001D0B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AA17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A176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C0E12"/>
    <w:rPr>
      <w:rFonts w:asciiTheme="majorHAnsi" w:eastAsiaTheme="majorEastAsia" w:hAnsiTheme="majorHAnsi" w:cstheme="majorBidi"/>
      <w:b/>
      <w:bCs/>
      <w:i/>
      <w:iCs/>
      <w:color w:val="4F81BD" w:themeColor="accent1"/>
    </w:rPr>
  </w:style>
  <w:style w:type="paragraph" w:styleId="FootnoteText">
    <w:name w:val="footnote text"/>
    <w:basedOn w:val="Normal"/>
    <w:link w:val="FootnoteTextChar"/>
    <w:uiPriority w:val="99"/>
    <w:semiHidden/>
    <w:unhideWhenUsed/>
    <w:rsid w:val="007B2C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2C89"/>
    <w:rPr>
      <w:sz w:val="20"/>
      <w:szCs w:val="20"/>
    </w:rPr>
  </w:style>
  <w:style w:type="character" w:styleId="FootnoteReference">
    <w:name w:val="footnote reference"/>
    <w:basedOn w:val="DefaultParagraphFont"/>
    <w:uiPriority w:val="99"/>
    <w:semiHidden/>
    <w:unhideWhenUsed/>
    <w:rsid w:val="007B2C89"/>
    <w:rPr>
      <w:vertAlign w:val="superscript"/>
    </w:rPr>
  </w:style>
  <w:style w:type="character" w:styleId="Hyperlink">
    <w:name w:val="Hyperlink"/>
    <w:basedOn w:val="DefaultParagraphFont"/>
    <w:uiPriority w:val="99"/>
    <w:unhideWhenUsed/>
    <w:rsid w:val="00BF7567"/>
    <w:rPr>
      <w:color w:val="0000FF" w:themeColor="hyperlink"/>
      <w:u w:val="single"/>
    </w:rPr>
  </w:style>
  <w:style w:type="table" w:customStyle="1" w:styleId="Style1">
    <w:name w:val="Style1"/>
    <w:basedOn w:val="TableNormal"/>
    <w:uiPriority w:val="99"/>
    <w:rsid w:val="00FF019C"/>
    <w:pPr>
      <w:spacing w:after="0" w:line="240" w:lineRule="auto"/>
    </w:pPr>
    <w:rPr>
      <w:rFonts w:ascii="Cambria" w:hAnsi="Cambria"/>
    </w:rPr>
    <w:tblPr>
      <w:tblInd w:w="0" w:type="dxa"/>
      <w:tblBorders>
        <w:bottom w:val="single" w:sz="2" w:space="0" w:color="A2BDDA"/>
        <w:insideH w:val="single" w:sz="2" w:space="0" w:color="A2BDDA"/>
      </w:tblBorders>
      <w:tblCellMar>
        <w:top w:w="0" w:type="dxa"/>
        <w:left w:w="108" w:type="dxa"/>
        <w:bottom w:w="0" w:type="dxa"/>
        <w:right w:w="108" w:type="dxa"/>
      </w:tblCellMar>
    </w:tblPr>
    <w:tcPr>
      <w:vAlign w:val="center"/>
    </w:tcPr>
    <w:tblStylePr w:type="firstRow">
      <w:pPr>
        <w:jc w:val="center"/>
      </w:pPr>
      <w:rPr>
        <w:rFonts w:asciiTheme="majorHAnsi" w:hAnsiTheme="majorHAnsi" w:hint="default"/>
        <w:b/>
        <w:sz w:val="22"/>
        <w:szCs w:val="22"/>
      </w:rPr>
      <w:tblPr/>
      <w:tcPr>
        <w:tcBorders>
          <w:top w:val="single" w:sz="2" w:space="0" w:color="A2BDDA"/>
          <w:left w:val="nil"/>
          <w:bottom w:val="nil"/>
          <w:right w:val="nil"/>
          <w:insideH w:val="nil"/>
          <w:insideV w:val="nil"/>
        </w:tcBorders>
        <w:shd w:val="clear" w:color="auto" w:fill="DCE6F1"/>
      </w:tcPr>
    </w:tblStylePr>
  </w:style>
  <w:style w:type="character" w:styleId="Emphasis">
    <w:name w:val="Emphasis"/>
    <w:basedOn w:val="DefaultParagraphFont"/>
    <w:uiPriority w:val="20"/>
    <w:qFormat/>
    <w:rsid w:val="00A01365"/>
    <w:rPr>
      <w:i/>
      <w:iCs/>
    </w:rPr>
  </w:style>
  <w:style w:type="paragraph" w:styleId="BalloonText">
    <w:name w:val="Balloon Text"/>
    <w:basedOn w:val="Normal"/>
    <w:link w:val="BalloonTextChar"/>
    <w:uiPriority w:val="99"/>
    <w:semiHidden/>
    <w:unhideWhenUsed/>
    <w:rsid w:val="001B3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2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88090">
      <w:bodyDiv w:val="1"/>
      <w:marLeft w:val="0"/>
      <w:marRight w:val="0"/>
      <w:marTop w:val="0"/>
      <w:marBottom w:val="0"/>
      <w:divBdr>
        <w:top w:val="none" w:sz="0" w:space="0" w:color="auto"/>
        <w:left w:val="none" w:sz="0" w:space="0" w:color="auto"/>
        <w:bottom w:val="none" w:sz="0" w:space="0" w:color="auto"/>
        <w:right w:val="none" w:sz="0" w:space="0" w:color="auto"/>
      </w:divBdr>
    </w:div>
    <w:div w:id="2099595319">
      <w:bodyDiv w:val="1"/>
      <w:marLeft w:val="0"/>
      <w:marRight w:val="0"/>
      <w:marTop w:val="0"/>
      <w:marBottom w:val="0"/>
      <w:divBdr>
        <w:top w:val="none" w:sz="0" w:space="0" w:color="auto"/>
        <w:left w:val="none" w:sz="0" w:space="0" w:color="auto"/>
        <w:bottom w:val="none" w:sz="0" w:space="0" w:color="auto"/>
        <w:right w:val="none" w:sz="0" w:space="0" w:color="auto"/>
      </w:divBdr>
    </w:div>
    <w:div w:id="210083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3516A-DC1F-421E-932F-31E2E16D2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OICS</Company>
  <LinksUpToDate>false</LinksUpToDate>
  <CharactersWithSpaces>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Wyatt</dc:creator>
  <cp:lastModifiedBy>Raiyana Pavan</cp:lastModifiedBy>
  <cp:revision>3</cp:revision>
  <dcterms:created xsi:type="dcterms:W3CDTF">2016-05-31T00:55:00Z</dcterms:created>
  <dcterms:modified xsi:type="dcterms:W3CDTF">2016-05-31T00:55:00Z</dcterms:modified>
</cp:coreProperties>
</file>